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7E233681" w:rsidR="002A4053" w:rsidRPr="002010BD" w:rsidRDefault="002010BD" w:rsidP="00E7440E">
      <w:pPr>
        <w:jc w:val="center"/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November 14</w:t>
      </w:r>
      <w:r w:rsidR="00E24C7C" w:rsidRPr="002010BD">
        <w:rPr>
          <w:b/>
          <w:sz w:val="20"/>
          <w:szCs w:val="20"/>
        </w:rPr>
        <w:t>,</w:t>
      </w:r>
      <w:r w:rsidR="001F4E86" w:rsidRPr="002010BD">
        <w:rPr>
          <w:b/>
          <w:sz w:val="20"/>
          <w:szCs w:val="20"/>
        </w:rPr>
        <w:t xml:space="preserve"> 2016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641BB90C" w:rsidR="00F27F28" w:rsidRPr="00187FD1" w:rsidRDefault="0088513C" w:rsidP="00A83AF3">
      <w:pPr>
        <w:rPr>
          <w:sz w:val="16"/>
          <w:szCs w:val="16"/>
        </w:rPr>
      </w:pPr>
      <w:r w:rsidRPr="00187FD1">
        <w:rPr>
          <w:sz w:val="16"/>
          <w:szCs w:val="16"/>
        </w:rPr>
        <w:t>**</w:t>
      </w:r>
      <w:r w:rsidR="002007EF" w:rsidRPr="00187FD1">
        <w:rPr>
          <w:sz w:val="16"/>
          <w:szCs w:val="16"/>
        </w:rPr>
        <w:t xml:space="preserve">One City Center, </w:t>
      </w:r>
      <w:r w:rsidR="002007EF" w:rsidRPr="00187FD1">
        <w:rPr>
          <w:b/>
          <w:sz w:val="16"/>
          <w:szCs w:val="16"/>
        </w:rPr>
        <w:t>Portland</w:t>
      </w:r>
      <w:r w:rsidRPr="00187FD1">
        <w:rPr>
          <w:b/>
          <w:sz w:val="16"/>
          <w:szCs w:val="16"/>
        </w:rPr>
        <w:t>**</w:t>
      </w:r>
      <w:r w:rsidR="002007EF" w:rsidRPr="00187FD1">
        <w:rPr>
          <w:b/>
          <w:sz w:val="16"/>
          <w:szCs w:val="16"/>
        </w:rPr>
        <w:t>,</w:t>
      </w:r>
      <w:r w:rsidR="002007EF" w:rsidRPr="00187FD1">
        <w:rPr>
          <w:sz w:val="16"/>
          <w:szCs w:val="16"/>
        </w:rPr>
        <w:t xml:space="preserve"> </w:t>
      </w:r>
      <w:r w:rsidR="002007EF" w:rsidRPr="00187FD1">
        <w:rPr>
          <w:b/>
          <w:sz w:val="16"/>
          <w:szCs w:val="16"/>
        </w:rPr>
        <w:t>AND</w:t>
      </w:r>
      <w:r w:rsidR="000C098C" w:rsidRPr="00187FD1">
        <w:rPr>
          <w:sz w:val="16"/>
          <w:szCs w:val="16"/>
        </w:rPr>
        <w:t xml:space="preserve"> via Zoom</w:t>
      </w:r>
      <w:r w:rsidR="002007EF" w:rsidRPr="00187FD1">
        <w:rPr>
          <w:sz w:val="16"/>
          <w:szCs w:val="16"/>
        </w:rPr>
        <w:t xml:space="preserve"> at UCP of ME Elizabeth Levinson Center, </w:t>
      </w:r>
      <w:r w:rsidR="002007EF" w:rsidRPr="00187FD1">
        <w:rPr>
          <w:b/>
          <w:sz w:val="16"/>
          <w:szCs w:val="16"/>
        </w:rPr>
        <w:t>Bangor</w:t>
      </w:r>
      <w:r w:rsidR="002007EF" w:rsidRPr="00187FD1">
        <w:rPr>
          <w:sz w:val="16"/>
          <w:szCs w:val="16"/>
        </w:rPr>
        <w:t xml:space="preserve"> 159 Hogan Road, (207) 941-2952; Uplift Inc., </w:t>
      </w:r>
      <w:r w:rsidR="002007EF" w:rsidRPr="00187FD1">
        <w:rPr>
          <w:b/>
          <w:sz w:val="16"/>
          <w:szCs w:val="16"/>
        </w:rPr>
        <w:t xml:space="preserve">Gardiner </w:t>
      </w:r>
      <w:r w:rsidR="002007EF" w:rsidRPr="00187FD1">
        <w:rPr>
          <w:sz w:val="16"/>
          <w:szCs w:val="16"/>
        </w:rPr>
        <w:t xml:space="preserve">25 Winter Street, (207) 582-8021; </w:t>
      </w:r>
      <w:r w:rsidR="000C098C" w:rsidRPr="00187FD1">
        <w:rPr>
          <w:sz w:val="16"/>
          <w:szCs w:val="16"/>
        </w:rPr>
        <w:t xml:space="preserve">John F. Murphy Homes, </w:t>
      </w:r>
      <w:r w:rsidR="000C098C" w:rsidRPr="00187FD1">
        <w:rPr>
          <w:b/>
          <w:sz w:val="16"/>
          <w:szCs w:val="16"/>
        </w:rPr>
        <w:t>Auburn</w:t>
      </w:r>
      <w:r w:rsidR="000C098C" w:rsidRPr="00187FD1">
        <w:rPr>
          <w:sz w:val="16"/>
          <w:szCs w:val="16"/>
        </w:rPr>
        <w:t xml:space="preserve"> 800 Center Street, (207) 782-2726; </w:t>
      </w:r>
      <w:r w:rsidR="002007EF" w:rsidRPr="00187FD1">
        <w:rPr>
          <w:sz w:val="16"/>
          <w:szCs w:val="16"/>
        </w:rPr>
        <w:t xml:space="preserve">Waban, </w:t>
      </w:r>
      <w:r w:rsidR="002007EF" w:rsidRPr="00187FD1">
        <w:rPr>
          <w:b/>
          <w:sz w:val="16"/>
          <w:szCs w:val="16"/>
        </w:rPr>
        <w:t>Sanford</w:t>
      </w:r>
      <w:r w:rsidR="002007EF" w:rsidRPr="00187FD1">
        <w:rPr>
          <w:sz w:val="16"/>
          <w:szCs w:val="16"/>
        </w:rPr>
        <w:t xml:space="preserve">, 5 Dunaway Drive, (207) 324-7955; Community Partners Inc., </w:t>
      </w:r>
      <w:r w:rsidR="002007EF" w:rsidRPr="00187FD1">
        <w:rPr>
          <w:b/>
          <w:sz w:val="16"/>
          <w:szCs w:val="16"/>
        </w:rPr>
        <w:t>Biddeford</w:t>
      </w:r>
      <w:r w:rsidR="002007EF" w:rsidRPr="00187FD1">
        <w:rPr>
          <w:sz w:val="16"/>
          <w:szCs w:val="16"/>
        </w:rPr>
        <w:t xml:space="preserve">, </w:t>
      </w:r>
      <w:r w:rsidR="00AC6486" w:rsidRPr="00187FD1">
        <w:rPr>
          <w:sz w:val="16"/>
          <w:szCs w:val="16"/>
        </w:rPr>
        <w:t xml:space="preserve">443 Main Street, (207) 282-7113; Autism Society of Maine, </w:t>
      </w:r>
      <w:r w:rsidR="009515D5" w:rsidRPr="00187FD1">
        <w:rPr>
          <w:b/>
          <w:sz w:val="16"/>
          <w:szCs w:val="16"/>
        </w:rPr>
        <w:t>Winthrop</w:t>
      </w:r>
      <w:r w:rsidR="009515D5" w:rsidRPr="00187FD1">
        <w:rPr>
          <w:sz w:val="16"/>
          <w:szCs w:val="16"/>
        </w:rPr>
        <w:t xml:space="preserve">, </w:t>
      </w:r>
      <w:r w:rsidR="00AC6486" w:rsidRPr="00187FD1">
        <w:rPr>
          <w:sz w:val="16"/>
          <w:szCs w:val="16"/>
        </w:rPr>
        <w:t xml:space="preserve">72B Main Street, </w:t>
      </w:r>
      <w:r w:rsidR="009515D5" w:rsidRPr="00187FD1">
        <w:rPr>
          <w:sz w:val="16"/>
          <w:szCs w:val="16"/>
        </w:rPr>
        <w:t>(800) 273-5200</w:t>
      </w:r>
      <w:r w:rsidR="000F5898" w:rsidRPr="00187FD1">
        <w:rPr>
          <w:sz w:val="16"/>
          <w:szCs w:val="16"/>
        </w:rPr>
        <w:t xml:space="preserve">; Life Enrichment Advancing People (LEAP), </w:t>
      </w:r>
      <w:r w:rsidR="000F5898" w:rsidRPr="00187FD1">
        <w:rPr>
          <w:b/>
          <w:sz w:val="16"/>
          <w:szCs w:val="16"/>
        </w:rPr>
        <w:t>Farmington</w:t>
      </w:r>
      <w:r w:rsidR="000F5898" w:rsidRPr="00187FD1">
        <w:rPr>
          <w:sz w:val="16"/>
          <w:szCs w:val="16"/>
        </w:rPr>
        <w:t>, 313 Farmington Falls Road, (207) 778-3443</w:t>
      </w:r>
      <w:r w:rsidR="002A1D44" w:rsidRPr="00187FD1">
        <w:rPr>
          <w:sz w:val="16"/>
          <w:szCs w:val="16"/>
        </w:rPr>
        <w:t>, University of Maine Center for Community Inclusion and Disability Studies</w:t>
      </w:r>
      <w:r w:rsidR="002A1D44" w:rsidRPr="00187FD1">
        <w:rPr>
          <w:b/>
          <w:sz w:val="16"/>
          <w:szCs w:val="16"/>
        </w:rPr>
        <w:t xml:space="preserve"> Orono</w:t>
      </w:r>
      <w:r w:rsidR="002A1D44" w:rsidRPr="00187FD1">
        <w:rPr>
          <w:sz w:val="16"/>
          <w:szCs w:val="16"/>
        </w:rPr>
        <w:t>, Corbett</w:t>
      </w:r>
      <w:r w:rsidR="002010BD">
        <w:rPr>
          <w:sz w:val="16"/>
          <w:szCs w:val="16"/>
        </w:rPr>
        <w:t xml:space="preserve"> Hall, Room 226, (207) 581-1231; Independence Association, </w:t>
      </w:r>
      <w:r w:rsidR="002010BD">
        <w:rPr>
          <w:b/>
          <w:sz w:val="16"/>
          <w:szCs w:val="16"/>
        </w:rPr>
        <w:t xml:space="preserve">Brunswick, </w:t>
      </w:r>
      <w:r w:rsidR="002010BD">
        <w:rPr>
          <w:sz w:val="16"/>
          <w:szCs w:val="16"/>
        </w:rPr>
        <w:t>87 Baribeau Drive, (207) 725-4371.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77777777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transition, employment, services that work, </w:t>
      </w:r>
      <w:r w:rsidR="00895FE6" w:rsidRPr="002010BD">
        <w:rPr>
          <w:sz w:val="20"/>
          <w:szCs w:val="20"/>
        </w:rPr>
        <w:t xml:space="preserve">housing,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77777777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A67709" w:rsidRPr="002010BD">
        <w:rPr>
          <w:b/>
          <w:sz w:val="20"/>
          <w:szCs w:val="20"/>
        </w:rPr>
        <w:t>s</w:t>
      </w:r>
      <w:r w:rsidRPr="002010BD">
        <w:rPr>
          <w:b/>
          <w:sz w:val="20"/>
          <w:szCs w:val="20"/>
        </w:rPr>
        <w:t xml:space="preserve">:  </w:t>
      </w:r>
    </w:p>
    <w:p w14:paraId="48AC3E22" w14:textId="78B7F6F3" w:rsidR="00851D43" w:rsidRPr="002010BD" w:rsidRDefault="002010BD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 xml:space="preserve">Ray Nagel, </w:t>
      </w:r>
      <w:r w:rsidR="00E92EB4" w:rsidRPr="002010BD">
        <w:rPr>
          <w:b/>
          <w:sz w:val="20"/>
          <w:szCs w:val="20"/>
        </w:rPr>
        <w:t xml:space="preserve">Executive Director, </w:t>
      </w:r>
      <w:r w:rsidR="004A7006">
        <w:rPr>
          <w:b/>
          <w:sz w:val="20"/>
          <w:szCs w:val="20"/>
        </w:rPr>
        <w:t xml:space="preserve">Independence Association.  </w:t>
      </w:r>
      <w:r w:rsidR="00E92EB4" w:rsidRPr="002010BD">
        <w:rPr>
          <w:b/>
          <w:sz w:val="20"/>
          <w:szCs w:val="20"/>
        </w:rPr>
        <w:t>To</w:t>
      </w:r>
      <w:r w:rsidR="001978CB" w:rsidRPr="002010BD">
        <w:rPr>
          <w:b/>
          <w:sz w:val="20"/>
          <w:szCs w:val="20"/>
        </w:rPr>
        <w:t>pic:</w:t>
      </w:r>
      <w:r w:rsidR="00E52D39" w:rsidRPr="002010BD">
        <w:rPr>
          <w:b/>
          <w:sz w:val="20"/>
          <w:szCs w:val="20"/>
        </w:rPr>
        <w:t xml:space="preserve">  </w:t>
      </w:r>
      <w:r w:rsidRPr="002010BD">
        <w:rPr>
          <w:b/>
          <w:sz w:val="20"/>
          <w:szCs w:val="20"/>
        </w:rPr>
        <w:t>The DSP shortage and steps we could take to address the issue</w:t>
      </w:r>
      <w:r w:rsidR="00E92EB4" w:rsidRPr="002010BD">
        <w:rPr>
          <w:b/>
          <w:sz w:val="20"/>
          <w:szCs w:val="20"/>
        </w:rPr>
        <w:t xml:space="preserve">.  </w:t>
      </w:r>
    </w:p>
    <w:p w14:paraId="12D87D37" w14:textId="66CBDD67" w:rsidR="00107C16" w:rsidRPr="002010BD" w:rsidRDefault="00611710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will also feature a </w:t>
      </w:r>
      <w:r w:rsidR="002010BD" w:rsidRPr="002010BD">
        <w:rPr>
          <w:sz w:val="20"/>
          <w:szCs w:val="20"/>
        </w:rPr>
        <w:t xml:space="preserve">follow-up </w:t>
      </w:r>
      <w:r w:rsidRPr="002010BD">
        <w:rPr>
          <w:sz w:val="20"/>
          <w:szCs w:val="20"/>
        </w:rPr>
        <w:t xml:space="preserve">on the </w:t>
      </w:r>
      <w:r w:rsidRPr="002010BD">
        <w:rPr>
          <w:b/>
          <w:sz w:val="20"/>
          <w:szCs w:val="20"/>
        </w:rPr>
        <w:t>Service Timeline completed as part of a Leadership in Action Placement through the NH</w:t>
      </w:r>
      <w:r w:rsidR="002879AA" w:rsidRPr="002010BD">
        <w:rPr>
          <w:b/>
          <w:sz w:val="20"/>
          <w:szCs w:val="20"/>
        </w:rPr>
        <w:t>-ME</w:t>
      </w:r>
      <w:r w:rsidRPr="002010BD">
        <w:rPr>
          <w:b/>
          <w:sz w:val="20"/>
          <w:szCs w:val="20"/>
        </w:rPr>
        <w:t xml:space="preserve"> LEND program and the University of Maine Center for Community Inclusion and Disability Studies</w:t>
      </w:r>
      <w:r w:rsidR="00E92EB4" w:rsidRPr="002010BD">
        <w:rPr>
          <w:b/>
          <w:sz w:val="20"/>
          <w:szCs w:val="20"/>
        </w:rPr>
        <w:t xml:space="preserve">   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7777777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637B2" w:rsidRPr="002010BD">
        <w:rPr>
          <w:b/>
          <w:sz w:val="20"/>
          <w:szCs w:val="20"/>
          <w:u w:val="single"/>
        </w:rPr>
        <w:t>:00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0AA3A299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6E1CE8" w:rsidRPr="002010BD">
        <w:rPr>
          <w:b/>
          <w:sz w:val="20"/>
          <w:szCs w:val="20"/>
        </w:rPr>
        <w:t xml:space="preserve"> </w:t>
      </w:r>
      <w:r w:rsidR="005B6022" w:rsidRPr="002010BD">
        <w:rPr>
          <w:sz w:val="20"/>
          <w:szCs w:val="20"/>
        </w:rPr>
        <w:t>Nikki Busmanis, Program Manager</w:t>
      </w:r>
      <w:r w:rsidRPr="002010BD">
        <w:rPr>
          <w:sz w:val="20"/>
          <w:szCs w:val="20"/>
        </w:rPr>
        <w:t>, 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>Report from OADS; 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r w:rsidR="00283274">
        <w:rPr>
          <w:sz w:val="20"/>
          <w:szCs w:val="20"/>
        </w:rPr>
        <w:t xml:space="preserve">; </w:t>
      </w:r>
      <w:r w:rsidR="00283274" w:rsidRPr="00283274">
        <w:rPr>
          <w:sz w:val="20"/>
          <w:szCs w:val="20"/>
        </w:rPr>
        <w:t>Draft Developmental Service Biennial plan</w:t>
      </w:r>
      <w:r w:rsidR="00F7045F" w:rsidRPr="002010BD">
        <w:rPr>
          <w:sz w:val="20"/>
          <w:szCs w:val="20"/>
        </w:rPr>
        <w:t>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77777777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6E1CE8" w:rsidRPr="002010BD">
        <w:rPr>
          <w:b/>
          <w:sz w:val="20"/>
          <w:szCs w:val="20"/>
          <w:u w:val="single"/>
        </w:rPr>
        <w:t xml:space="preserve">5pm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77777777" w:rsidR="004F318A" w:rsidRPr="002010BD" w:rsidRDefault="004F318A" w:rsidP="008637B2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 xml:space="preserve">1:35pm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Pr="002010BD">
        <w:rPr>
          <w:sz w:val="20"/>
          <w:szCs w:val="20"/>
        </w:rPr>
        <w:t>:</w:t>
      </w:r>
    </w:p>
    <w:p w14:paraId="698FF028" w14:textId="3BE3DB34" w:rsidR="008637B2" w:rsidRPr="002010BD" w:rsidRDefault="0013211C" w:rsidP="004F31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Mary Lou Dyer and </w:t>
      </w:r>
      <w:r w:rsidR="008637B2" w:rsidRPr="002010BD">
        <w:rPr>
          <w:sz w:val="20"/>
          <w:szCs w:val="20"/>
        </w:rPr>
        <w:t xml:space="preserve">Charlene Kinnelly, MACSP, and </w:t>
      </w:r>
      <w:bookmarkStart w:id="0" w:name="_GoBack"/>
      <w:bookmarkEnd w:id="0"/>
      <w:r w:rsidR="008637B2" w:rsidRPr="002010BD">
        <w:rPr>
          <w:sz w:val="20"/>
          <w:szCs w:val="20"/>
        </w:rPr>
        <w:t xml:space="preserve">Representative Peter Stuckey 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77777777" w:rsidR="008F0BB8" w:rsidRPr="002010BD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6C565BEF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2010BD" w:rsidRPr="002010BD">
        <w:rPr>
          <w:b/>
          <w:sz w:val="20"/>
          <w:szCs w:val="20"/>
        </w:rPr>
        <w:t>December 12</w:t>
      </w:r>
      <w:r w:rsidR="00D65AC4" w:rsidRPr="002010BD">
        <w:rPr>
          <w:b/>
          <w:sz w:val="20"/>
          <w:szCs w:val="20"/>
        </w:rPr>
        <w:t>,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E13F44" w:rsidRPr="002010BD">
        <w:rPr>
          <w:b/>
          <w:sz w:val="20"/>
          <w:szCs w:val="20"/>
        </w:rPr>
        <w:t xml:space="preserve"> </w:t>
      </w:r>
      <w:r w:rsidR="005D1A06" w:rsidRPr="002010BD">
        <w:rPr>
          <w:b/>
          <w:i/>
          <w:sz w:val="20"/>
          <w:szCs w:val="20"/>
        </w:rPr>
        <w:t xml:space="preserve">(off of the food court,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Speaker:  </w:t>
      </w:r>
      <w:r w:rsidR="002010BD" w:rsidRPr="002010BD">
        <w:rPr>
          <w:b/>
          <w:sz w:val="20"/>
          <w:szCs w:val="20"/>
        </w:rPr>
        <w:t>Teresa Barrows, Behavioral Health Director, DHHS-OCFS</w:t>
      </w:r>
      <w:r w:rsidR="00ED3B46" w:rsidRPr="002010BD">
        <w:rPr>
          <w:b/>
          <w:sz w:val="20"/>
          <w:szCs w:val="20"/>
        </w:rPr>
        <w:t xml:space="preserve">.  Topic:  </w:t>
      </w:r>
      <w:r w:rsidR="002010BD" w:rsidRPr="002010BD">
        <w:rPr>
          <w:b/>
          <w:sz w:val="20"/>
          <w:szCs w:val="20"/>
        </w:rPr>
        <w:t>An update on OCFS and a follow-up on the Blueprint for Effective Transition</w:t>
      </w:r>
      <w:r w:rsidR="00C90A28" w:rsidRPr="002010BD">
        <w:rPr>
          <w:b/>
          <w:sz w:val="20"/>
          <w:szCs w:val="20"/>
        </w:rPr>
        <w:t>.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77777777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(off of the food court,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Casseroles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13211C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4350"/>
    <w:rsid w:val="00AA4777"/>
    <w:rsid w:val="00AA6559"/>
    <w:rsid w:val="00AB5AEB"/>
    <w:rsid w:val="00AB7468"/>
    <w:rsid w:val="00AC37CF"/>
    <w:rsid w:val="00AC6420"/>
    <w:rsid w:val="00AC6486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cfc750963831c296cba325ae36962f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5625C-D7D9-4469-8081-47451D42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4206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5</cp:revision>
  <cp:lastPrinted>2006-10-24T15:21:00Z</cp:lastPrinted>
  <dcterms:created xsi:type="dcterms:W3CDTF">2016-11-04T14:05:00Z</dcterms:created>
  <dcterms:modified xsi:type="dcterms:W3CDTF">2016-11-10T23:14:00Z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